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00"/>
        <w:jc w:val="both"/>
        <w:textAlignment w:val="auto"/>
        <w:outlineLvl w:val="9"/>
        <w:rPr>
          <w:rFonts w:hint="eastAsia" w:ascii="黑体" w:hAnsi="黑体" w:eastAsia="黑体" w:cs="黑体"/>
          <w:b w:val="0"/>
          <w:bCs/>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00"/>
        <w:jc w:val="both"/>
        <w:textAlignment w:val="auto"/>
        <w:outlineLvl w:val="9"/>
        <w:rPr>
          <w:rFonts w:hint="eastAsia" w:ascii="黑体" w:hAnsi="黑体" w:eastAsia="黑体" w:cs="黑体"/>
          <w:b w:val="0"/>
          <w:bCs/>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eastAsia" w:ascii="方正小标宋简体" w:hAnsi="方正小标宋简体" w:eastAsia="方正小标宋简体" w:cs="方正小标宋简体"/>
          <w:kern w:val="2"/>
          <w:sz w:val="44"/>
          <w:szCs w:val="44"/>
          <w:lang w:eastAsia="zh-CN" w:bidi="ar-SA"/>
        </w:rPr>
      </w:pPr>
      <w:r>
        <w:rPr>
          <w:rFonts w:hint="eastAsia" w:ascii="方正小标宋简体" w:hAnsi="方正小标宋简体" w:eastAsia="方正小标宋简体" w:cs="方正小标宋简体"/>
          <w:kern w:val="2"/>
          <w:sz w:val="44"/>
          <w:szCs w:val="44"/>
          <w:lang w:eastAsia="zh-CN" w:bidi="ar-SA"/>
        </w:rPr>
        <w:t>南海区扫黑除恶和打击整治养老诈骗</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eastAsia" w:ascii="方正小标宋简体" w:hAnsi="方正小标宋简体" w:eastAsia="方正小标宋简体" w:cs="方正小标宋简体"/>
          <w:kern w:val="2"/>
          <w:sz w:val="44"/>
          <w:szCs w:val="44"/>
          <w:lang w:eastAsia="zh-CN" w:bidi="ar-SA"/>
        </w:rPr>
      </w:pPr>
      <w:r>
        <w:rPr>
          <w:rFonts w:hint="eastAsia" w:ascii="方正小标宋简体" w:hAnsi="方正小标宋简体" w:eastAsia="方正小标宋简体" w:cs="方正小标宋简体"/>
          <w:kern w:val="2"/>
          <w:sz w:val="44"/>
          <w:szCs w:val="44"/>
          <w:lang w:eastAsia="zh-CN" w:bidi="ar-SA"/>
        </w:rPr>
        <w:t>宣传物料设计和制作项目</w:t>
      </w:r>
    </w:p>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eastAsia" w:ascii="方正小标宋简体" w:hAnsi="方正小标宋简体" w:eastAsia="方正小标宋简体" w:cs="方正小标宋简体"/>
          <w:kern w:val="2"/>
          <w:sz w:val="44"/>
          <w:szCs w:val="44"/>
          <w:lang w:eastAsia="zh-CN" w:bidi="ar-SA"/>
        </w:rPr>
      </w:pPr>
      <w:r>
        <w:rPr>
          <w:rFonts w:hint="eastAsia" w:ascii="方正小标宋简体" w:hAnsi="方正小标宋简体" w:eastAsia="方正小标宋简体" w:cs="方正小标宋简体"/>
          <w:kern w:val="2"/>
          <w:sz w:val="44"/>
          <w:szCs w:val="44"/>
          <w:lang w:val="en-US" w:eastAsia="zh-CN" w:bidi="ar-SA"/>
        </w:rPr>
        <w:t xml:space="preserve"> 报价通知书</w:t>
      </w:r>
    </w:p>
    <w:p>
      <w:pPr>
        <w:rPr>
          <w:rFonts w:hint="eastAsia" w:ascii="宋体" w:hAnsi="宋体"/>
          <w:b w:val="0"/>
          <w:bCs/>
          <w:color w:val="auto"/>
        </w:rPr>
      </w:pPr>
    </w:p>
    <w:p>
      <w:pPr>
        <w:rPr>
          <w:rFonts w:hint="eastAsia" w:ascii="宋体" w:hAnsi="宋体"/>
          <w:b w:val="0"/>
          <w:bCs/>
          <w:color w:val="auto"/>
        </w:rPr>
      </w:pPr>
    </w:p>
    <w:p>
      <w:pPr>
        <w:adjustRightInd w:val="0"/>
        <w:snapToGrid w:val="0"/>
        <w:spacing w:line="300" w:lineRule="auto"/>
        <w:ind w:firstLine="640" w:firstLineChars="200"/>
        <w:rPr>
          <w:rFonts w:hint="eastAsia" w:ascii="宋体"/>
          <w:b w:val="0"/>
          <w:bCs/>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pStyle w:val="2"/>
        <w:rPr>
          <w:rFonts w:hint="eastAsia" w:ascii="宋体"/>
          <w:snapToGrid w:val="0"/>
          <w:color w:val="auto"/>
          <w:sz w:val="32"/>
        </w:rPr>
      </w:pPr>
    </w:p>
    <w:p>
      <w:pPr>
        <w:pStyle w:val="2"/>
        <w:rPr>
          <w:rFonts w:hint="eastAsia" w:ascii="宋体"/>
          <w:snapToGrid w:val="0"/>
          <w:color w:val="auto"/>
          <w:sz w:val="32"/>
        </w:rPr>
      </w:pPr>
    </w:p>
    <w:p>
      <w:pPr>
        <w:pStyle w:val="2"/>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pacing w:line="360" w:lineRule="auto"/>
        <w:jc w:val="center"/>
        <w:rPr>
          <w:rFonts w:hint="eastAsia" w:ascii="仿宋_GB2312" w:hAnsi="仿宋_GB2312" w:eastAsia="仿宋_GB2312" w:cs="仿宋_GB2312"/>
          <w:snapToGrid w:val="0"/>
          <w:color w:val="auto"/>
          <w:sz w:val="32"/>
        </w:rPr>
      </w:pPr>
      <w:r>
        <w:rPr>
          <w:rFonts w:hint="eastAsia" w:ascii="仿宋_GB2312" w:hAnsi="仿宋_GB2312" w:eastAsia="仿宋_GB2312" w:cs="仿宋_GB2312"/>
          <w:snapToGrid w:val="0"/>
          <w:color w:val="auto"/>
          <w:sz w:val="32"/>
          <w:lang w:val="en-US" w:eastAsia="zh-CN"/>
        </w:rPr>
        <w:t xml:space="preserve">  </w:t>
      </w:r>
      <w:r>
        <w:rPr>
          <w:rFonts w:hint="eastAsia" w:ascii="仿宋_GB2312" w:hAnsi="仿宋_GB2312" w:eastAsia="仿宋_GB2312" w:cs="仿宋_GB2312"/>
          <w:snapToGrid w:val="0"/>
          <w:color w:val="auto"/>
          <w:sz w:val="32"/>
        </w:rPr>
        <w:t>采 购 人：</w:t>
      </w:r>
      <w:r>
        <w:rPr>
          <w:rFonts w:hint="eastAsia" w:ascii="仿宋_GB2312" w:hAnsi="仿宋_GB2312" w:eastAsia="仿宋_GB2312" w:cs="仿宋_GB2312"/>
          <w:snapToGrid w:val="0"/>
          <w:color w:val="auto"/>
          <w:sz w:val="32"/>
          <w:lang w:val="en-US" w:eastAsia="zh-CN"/>
        </w:rPr>
        <w:t>中共佛山市南海区委政法委员会</w:t>
      </w:r>
    </w:p>
    <w:p>
      <w:pPr>
        <w:adjustRightInd w:val="0"/>
        <w:spacing w:line="360" w:lineRule="auto"/>
        <w:ind w:firstLine="1280" w:firstLineChars="400"/>
        <w:rPr>
          <w:rFonts w:hint="eastAsia" w:ascii="仿宋_GB2312" w:hAnsi="仿宋_GB2312" w:eastAsia="仿宋_GB2312" w:cs="仿宋_GB2312"/>
          <w:snapToGrid w:val="0"/>
          <w:color w:val="auto"/>
          <w:sz w:val="32"/>
        </w:rPr>
      </w:pPr>
      <w:r>
        <w:rPr>
          <w:rFonts w:hint="eastAsia" w:ascii="仿宋_GB2312" w:hAnsi="仿宋_GB2312" w:eastAsia="仿宋_GB2312" w:cs="仿宋_GB2312"/>
          <w:snapToGrid w:val="0"/>
          <w:color w:val="auto"/>
          <w:sz w:val="32"/>
        </w:rPr>
        <w:t>时    间：</w:t>
      </w:r>
      <w:r>
        <w:rPr>
          <w:rFonts w:hint="eastAsia" w:ascii="仿宋_GB2312" w:hAnsi="仿宋_GB2312" w:eastAsia="仿宋_GB2312" w:cs="仿宋_GB2312"/>
          <w:snapToGrid w:val="0"/>
          <w:color w:val="auto"/>
          <w:sz w:val="32"/>
          <w:lang w:val="en-US" w:eastAsia="zh-CN"/>
        </w:rPr>
        <w:t>2022</w:t>
      </w:r>
      <w:r>
        <w:rPr>
          <w:rFonts w:hint="eastAsia" w:ascii="仿宋_GB2312" w:hAnsi="仿宋_GB2312" w:eastAsia="仿宋_GB2312" w:cs="仿宋_GB2312"/>
          <w:snapToGrid w:val="0"/>
          <w:color w:val="auto"/>
          <w:sz w:val="32"/>
        </w:rPr>
        <w:t>年</w:t>
      </w:r>
      <w:r>
        <w:rPr>
          <w:rFonts w:hint="eastAsia" w:ascii="仿宋_GB2312" w:hAnsi="仿宋_GB2312" w:eastAsia="仿宋_GB2312" w:cs="仿宋_GB2312"/>
          <w:snapToGrid w:val="0"/>
          <w:color w:val="auto"/>
          <w:sz w:val="32"/>
          <w:lang w:val="en-US" w:eastAsia="zh-CN"/>
        </w:rPr>
        <w:t>9</w:t>
      </w:r>
      <w:r>
        <w:rPr>
          <w:rFonts w:hint="eastAsia" w:ascii="仿宋_GB2312" w:hAnsi="仿宋_GB2312" w:eastAsia="仿宋_GB2312" w:cs="仿宋_GB2312"/>
          <w:snapToGrid w:val="0"/>
          <w:color w:val="auto"/>
          <w:sz w:val="32"/>
        </w:rPr>
        <w:t>月</w:t>
      </w:r>
      <w:r>
        <w:rPr>
          <w:rFonts w:hint="eastAsia" w:ascii="仿宋_GB2312" w:hAnsi="仿宋_GB2312" w:eastAsia="仿宋_GB2312" w:cs="仿宋_GB2312"/>
          <w:snapToGrid w:val="0"/>
          <w:color w:val="auto"/>
          <w:sz w:val="32"/>
          <w:lang w:val="en-US" w:eastAsia="zh-CN"/>
        </w:rPr>
        <w:t>27</w:t>
      </w:r>
      <w:r>
        <w:rPr>
          <w:rFonts w:hint="eastAsia" w:ascii="仿宋_GB2312" w:hAnsi="仿宋_GB2312" w:eastAsia="仿宋_GB2312" w:cs="仿宋_GB2312"/>
          <w:snapToGrid w:val="0"/>
          <w:color w:val="auto"/>
          <w:sz w:val="32"/>
        </w:rPr>
        <w:t>日</w:t>
      </w:r>
    </w:p>
    <w:p>
      <w:pPr>
        <w:adjustRightInd w:val="0"/>
        <w:snapToGrid w:val="0"/>
        <w:spacing w:line="300" w:lineRule="auto"/>
        <w:jc w:val="center"/>
        <w:rPr>
          <w:rFonts w:hint="eastAsia" w:ascii="仿宋_GB2312" w:hAnsi="仿宋_GB2312" w:eastAsia="仿宋_GB2312" w:cs="仿宋_GB2312"/>
          <w:snapToGrid w:val="0"/>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eastAsia="zh-CN"/>
        </w:rPr>
      </w:pPr>
      <w:r>
        <w:rPr>
          <w:rFonts w:hint="eastAsia" w:ascii="仿宋_GB2312" w:hAnsi="仿宋_GB2312" w:eastAsia="仿宋_GB2312" w:cs="仿宋_GB2312"/>
          <w:bCs/>
          <w:sz w:val="32"/>
          <w:szCs w:val="32"/>
          <w:lang w:val="en-US" w:eastAsia="zh-CN"/>
        </w:rPr>
        <w:t>中共佛山市南海区委政法委员会关于南海区扫黑除恶和打击整治养老诈骗宣传物料设计和制作项目进行采购，欢迎有意向的供应商参加响应。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项目建设</w:t>
      </w:r>
      <w:r>
        <w:rPr>
          <w:rFonts w:hint="eastAsia" w:ascii="黑体" w:hAnsi="黑体" w:eastAsia="黑体" w:cs="黑体"/>
          <w:sz w:val="32"/>
          <w:szCs w:val="32"/>
          <w:lang w:eastAsia="zh-CN"/>
        </w:rPr>
        <w:t>名称</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南海区扫黑除恶和打击整治养老诈骗宣传物料设计和制作项目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项目</w:t>
      </w:r>
      <w:r>
        <w:rPr>
          <w:rFonts w:hint="eastAsia" w:ascii="黑体" w:hAnsi="黑体" w:eastAsia="黑体" w:cs="黑体"/>
          <w:sz w:val="32"/>
          <w:szCs w:val="32"/>
          <w:lang w:eastAsia="zh-CN"/>
        </w:rPr>
        <w:t>需求及内容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kern w:val="2"/>
          <w:sz w:val="32"/>
          <w:szCs w:val="32"/>
          <w:lang w:val="en-US" w:eastAsia="zh-CN" w:bidi="ar-SA"/>
        </w:rPr>
        <w:t>根据中央、省委关于扫黑除恶和打击整治养老诈骗专项行动的决策部署和为进一步营造我区扫黑除恶和打击整治养老诈骗的宣传氛围。</w:t>
      </w:r>
      <w:r>
        <w:rPr>
          <w:rFonts w:hint="eastAsia" w:ascii="仿宋_GB2312" w:hAnsi="仿宋_GB2312" w:eastAsia="仿宋_GB2312" w:cs="仿宋_GB2312"/>
          <w:color w:val="auto"/>
          <w:spacing w:val="0"/>
          <w:sz w:val="32"/>
          <w:szCs w:val="32"/>
          <w:lang w:val="en-US" w:eastAsia="zh-CN"/>
        </w:rPr>
        <w:t>现计划设计和制作南海区扫黑除恶和打击整治养老诈骗宣传物料项目（纸手帕），数量为150000包，每包有8张，每张4层，且符合210mmX210mm/张，宣传物料须有检测合格证，包装内容主要结合“扫黑除恶常态化”、“反有组织犯罪法”、“打击整治养老诈骗”等核心元素进行创作宣传。</w:t>
      </w:r>
    </w:p>
    <w:p>
      <w:pPr>
        <w:keepNext w:val="0"/>
        <w:keepLines w:val="0"/>
        <w:pageBreakBefore w:val="0"/>
        <w:widowControl w:val="0"/>
        <w:numPr>
          <w:ilvl w:val="0"/>
          <w:numId w:val="1"/>
        </w:numPr>
        <w:tabs>
          <w:tab w:val="left" w:pos="709"/>
        </w:tabs>
        <w:kinsoku/>
        <w:wordWrap/>
        <w:overflowPunct/>
        <w:topLinePunct w:val="0"/>
        <w:bidi w:val="0"/>
        <w:snapToGrid w:val="0"/>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报价要求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本项目最高限价为￥160,000元（大写：人民币拾陆万元整）。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报价人报价不得高于最高限价，且报价必须为唯一报价，否则按报价无效处理。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报价人资格要求</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参与本次报价的供应商，应同时具备以下条件：</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（一）在中国国内设有独立法人机构（如营业执照、组织机构代码证、民办非盈利机构注册登记证等），分公司或分支机构必须由具有法人资格的总公司授权；具有良好的银行资信、商业信誉和健全的财务制度；</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（二）具有宣传品等设计和制作经验；</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（三）能根据相关要求开展设计和制作工作；</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（四）各报价人应保证所提供材料的真实合法性，我单位保留对相关材料进一步核查的权利。对于申请人弄虚作假的行为，申请人参与的本次活动无效；</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（五）本项目不接受联合体参选。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参与形式</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若有意向承接该项目，请于2022年9月28日—10月8日上午12：00前（工作时间为上午8：30—12：00，下午14：00—17：30）到桂城街道南新二路67号递交报价文件：1.营业执照/法人证书复印件（不封装）；2.承接项目的初步方案、报价方案/表、以及其他与项目内容有关或足以证明报价人资质、业绩、优势等能承办好此项目的相关材料（封装并在封口加盖单位公章）。以上材料一式六份，采购人不接受在此时间段以外递交的报价文件。</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联系方式：86399542，郭先生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采购单位将组成项目评审小组，以综合实力的优劣进行排列，择优选定建设单位。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520" w:firstLineChars="11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中共佛山市南海区委政法委员会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0" w:firstLineChars="1500"/>
        <w:jc w:val="both"/>
        <w:textAlignment w:val="auto"/>
        <w:outlineLvl w:val="9"/>
        <w:rPr>
          <w:rFonts w:hint="eastAsia"/>
          <w:lang w:val="en-US"/>
        </w:rPr>
      </w:pP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F40C"/>
    <w:multiLevelType w:val="singleLevel"/>
    <w:tmpl w:val="99BAF4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YzJlNmQ3MmQ5YzY4ZGE3YmQ0NGEzNGEyOWRhZjYifQ=="/>
  </w:docVars>
  <w:rsids>
    <w:rsidRoot w:val="11CD1DE6"/>
    <w:rsid w:val="0126568E"/>
    <w:rsid w:val="09927AB6"/>
    <w:rsid w:val="0C10505A"/>
    <w:rsid w:val="11CD1DE6"/>
    <w:rsid w:val="14A5578A"/>
    <w:rsid w:val="1BCA3BB9"/>
    <w:rsid w:val="1D9F3B88"/>
    <w:rsid w:val="1F8D1B11"/>
    <w:rsid w:val="225E55E4"/>
    <w:rsid w:val="2264617B"/>
    <w:rsid w:val="23566748"/>
    <w:rsid w:val="23FC10BB"/>
    <w:rsid w:val="25A65405"/>
    <w:rsid w:val="265924A0"/>
    <w:rsid w:val="2A12588D"/>
    <w:rsid w:val="2BFE336F"/>
    <w:rsid w:val="2C0160F3"/>
    <w:rsid w:val="2C8314C7"/>
    <w:rsid w:val="38370DD1"/>
    <w:rsid w:val="39075CF7"/>
    <w:rsid w:val="3CA43FFF"/>
    <w:rsid w:val="3FA92C0D"/>
    <w:rsid w:val="437601CE"/>
    <w:rsid w:val="462C5421"/>
    <w:rsid w:val="4AA32069"/>
    <w:rsid w:val="4CB155CD"/>
    <w:rsid w:val="52C004C8"/>
    <w:rsid w:val="5A1620D2"/>
    <w:rsid w:val="5CB565F3"/>
    <w:rsid w:val="5DD74390"/>
    <w:rsid w:val="6B152EA5"/>
    <w:rsid w:val="783D3A40"/>
    <w:rsid w:val="7FFC6A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4"/>
      <w:ind w:left="710"/>
      <w:outlineLvl w:val="2"/>
    </w:pPr>
    <w:rPr>
      <w:rFonts w:ascii="宋体" w:hAnsi="宋体" w:eastAsia="宋体" w:cs="宋体"/>
      <w:b/>
      <w:bCs/>
      <w:sz w:val="24"/>
      <w:szCs w:val="24"/>
      <w:lang w:val="zh-CN" w:eastAsia="zh-CN" w:bidi="zh-CN"/>
    </w:rPr>
  </w:style>
  <w:style w:type="paragraph" w:styleId="5">
    <w:name w:val="heading 3"/>
    <w:basedOn w:val="1"/>
    <w:next w:val="1"/>
    <w:unhideWhenUsed/>
    <w:qFormat/>
    <w:uiPriority w:val="0"/>
    <w:pPr>
      <w:spacing w:before="104" w:beforeLines="0" w:after="104" w:afterLines="0"/>
      <w:outlineLvl w:val="2"/>
    </w:p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区委组织部</Company>
  <Pages>3</Pages>
  <Words>912</Words>
  <Characters>966</Characters>
  <Lines>0</Lines>
  <Paragraphs>0</Paragraphs>
  <TotalTime>58</TotalTime>
  <ScaleCrop>false</ScaleCrop>
  <LinksUpToDate>false</LinksUpToDate>
  <CharactersWithSpaces>975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2022-06-15T08:14:00Z</dcterms:created>
  <dc:creator>杨伟贤</dc:creator>
  <cp:lastModifiedBy>郭梓然</cp:lastModifiedBy>
  <cp:lastPrinted>2022-09-27T07:26:38Z</cp:lastPrinted>
  <dcterms:modified xsi:type="dcterms:W3CDTF">2022-09-27T10:10:59Z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5702CFBB3B8A407B8D2BBD9F9DDEA430</vt:lpwstr>
  </property>
</Properties>
</file>