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ab/>
      </w:r>
    </w:p>
    <w:p>
      <w:pPr>
        <w:pStyle w:val="2"/>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pStyle w:val="4"/>
        <w:spacing w:before="0" w:after="0"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南海区</w:t>
      </w:r>
      <w:r>
        <w:rPr>
          <w:rFonts w:hint="eastAsia" w:ascii="方正小标宋简体" w:hAnsi="方正小标宋简体" w:eastAsia="方正小标宋简体" w:cs="方正小标宋简体"/>
          <w:sz w:val="44"/>
          <w:szCs w:val="44"/>
          <w:lang w:val="en-US" w:eastAsia="zh-CN"/>
        </w:rPr>
        <w:t>综治中心建设</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报价通知书</w:t>
      </w:r>
    </w:p>
    <w:p>
      <w:pPr>
        <w:spacing w:line="560" w:lineRule="exact"/>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adjustRightInd w:val="0"/>
        <w:spacing w:line="360" w:lineRule="auto"/>
        <w:jc w:val="center"/>
        <w:rPr>
          <w:rFonts w:ascii="仿宋_GB2312" w:hAnsi="仿宋_GB2312" w:eastAsia="仿宋_GB2312" w:cs="仿宋_GB2312"/>
          <w:snapToGrid w:val="0"/>
          <w:sz w:val="32"/>
        </w:rPr>
      </w:pPr>
      <w:r>
        <w:rPr>
          <w:rFonts w:hint="eastAsia" w:ascii="仿宋_GB2312" w:hAnsi="仿宋_GB2312" w:eastAsia="仿宋_GB2312" w:cs="仿宋_GB2312"/>
          <w:snapToGrid w:val="0"/>
          <w:sz w:val="32"/>
        </w:rPr>
        <w:t xml:space="preserve">   采 购 人：中共佛山市南海区委政法委员会</w:t>
      </w:r>
    </w:p>
    <w:p>
      <w:pPr>
        <w:ind w:firstLine="1600" w:firstLineChars="500"/>
        <w:rPr>
          <w:rFonts w:ascii="仿宋_GB2312" w:hAnsi="仿宋_GB2312" w:eastAsia="仿宋_GB2312" w:cs="仿宋_GB2312"/>
          <w:snapToGrid w:val="0"/>
          <w:sz w:val="32"/>
        </w:rPr>
      </w:pPr>
      <w:r>
        <w:rPr>
          <w:rFonts w:hint="eastAsia" w:ascii="仿宋_GB2312" w:hAnsi="仿宋_GB2312" w:eastAsia="仿宋_GB2312" w:cs="仿宋_GB2312"/>
          <w:snapToGrid w:val="0"/>
          <w:sz w:val="32"/>
        </w:rPr>
        <w:t>时    间：202</w:t>
      </w:r>
      <w:r>
        <w:rPr>
          <w:rFonts w:ascii="仿宋_GB2312" w:hAnsi="仿宋_GB2312" w:eastAsia="仿宋_GB2312" w:cs="仿宋_GB2312"/>
          <w:snapToGrid w:val="0"/>
          <w:sz w:val="32"/>
        </w:rPr>
        <w:t>3</w:t>
      </w:r>
      <w:r>
        <w:rPr>
          <w:rFonts w:hint="eastAsia" w:ascii="仿宋_GB2312" w:hAnsi="仿宋_GB2312" w:eastAsia="仿宋_GB2312" w:cs="仿宋_GB2312"/>
          <w:snapToGrid w:val="0"/>
          <w:sz w:val="32"/>
        </w:rPr>
        <w:t>年</w:t>
      </w:r>
      <w:r>
        <w:rPr>
          <w:rFonts w:hint="eastAsia" w:ascii="仿宋_GB2312" w:hAnsi="仿宋_GB2312" w:eastAsia="仿宋_GB2312" w:cs="仿宋_GB2312"/>
          <w:snapToGrid w:val="0"/>
          <w:sz w:val="32"/>
          <w:lang w:val="en-US" w:eastAsia="zh-CN"/>
        </w:rPr>
        <w:t>9</w:t>
      </w:r>
      <w:r>
        <w:rPr>
          <w:rFonts w:hint="eastAsia" w:ascii="仿宋_GB2312" w:hAnsi="仿宋_GB2312" w:eastAsia="仿宋_GB2312" w:cs="仿宋_GB2312"/>
          <w:snapToGrid w:val="0"/>
          <w:sz w:val="32"/>
          <w:highlight w:val="none"/>
        </w:rPr>
        <w:t>月</w:t>
      </w:r>
      <w:r>
        <w:rPr>
          <w:rFonts w:hint="eastAsia" w:ascii="仿宋_GB2312" w:hAnsi="仿宋_GB2312" w:eastAsia="仿宋_GB2312" w:cs="仿宋_GB2312"/>
          <w:snapToGrid w:val="0"/>
          <w:sz w:val="32"/>
          <w:highlight w:val="none"/>
          <w:lang w:val="en-US" w:eastAsia="zh-CN"/>
        </w:rPr>
        <w:t>22</w:t>
      </w:r>
      <w:r>
        <w:rPr>
          <w:rFonts w:hint="eastAsia" w:ascii="仿宋_GB2312" w:hAnsi="仿宋_GB2312" w:eastAsia="仿宋_GB2312" w:cs="仿宋_GB2312"/>
          <w:snapToGrid w:val="0"/>
          <w:sz w:val="32"/>
          <w:highlight w:val="none"/>
        </w:rPr>
        <w:t>日</w:t>
      </w:r>
    </w:p>
    <w:p>
      <w:pPr>
        <w:widowControl/>
        <w:jc w:val="left"/>
        <w:rPr>
          <w:rFonts w:ascii="仿宋_GB2312" w:hAnsi="仿宋_GB2312" w:eastAsia="仿宋_GB2312" w:cs="仿宋_GB2312"/>
          <w:bCs/>
          <w:sz w:val="32"/>
          <w:szCs w:val="32"/>
        </w:rPr>
      </w:pPr>
      <w:r>
        <w:rPr>
          <w:rFonts w:ascii="仿宋_GB2312" w:hAnsi="仿宋_GB2312" w:eastAsia="仿宋_GB2312" w:cs="仿宋_GB2312"/>
          <w:bCs/>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napToGrid w:val="0"/>
          <w:color w:val="auto"/>
          <w:sz w:val="32"/>
        </w:rPr>
      </w:pPr>
      <w:r>
        <w:rPr>
          <w:rFonts w:hint="eastAsia" w:ascii="仿宋_GB2312" w:hAnsi="仿宋_GB2312" w:eastAsia="仿宋_GB2312" w:cs="仿宋_GB2312"/>
          <w:bCs/>
          <w:color w:val="auto"/>
          <w:sz w:val="32"/>
          <w:szCs w:val="32"/>
        </w:rPr>
        <w:t>中共佛山市南海区委政法委员会对</w:t>
      </w:r>
      <w:r>
        <w:rPr>
          <w:rFonts w:hint="eastAsia" w:ascii="仿宋_GB2312" w:hAnsi="仿宋_GB2312" w:eastAsia="仿宋_GB2312" w:cs="仿宋_GB2312"/>
          <w:bCs/>
          <w:color w:val="auto"/>
          <w:sz w:val="32"/>
          <w:szCs w:val="32"/>
          <w:lang w:val="en-US" w:eastAsia="zh-CN"/>
        </w:rPr>
        <w:t>南海区综治中心建设项目</w:t>
      </w:r>
      <w:r>
        <w:rPr>
          <w:rFonts w:hint="eastAsia" w:ascii="仿宋_GB2312" w:hAnsi="仿宋_GB2312" w:eastAsia="仿宋_GB2312" w:cs="仿宋_GB2312"/>
          <w:bCs/>
          <w:color w:val="auto"/>
          <w:sz w:val="32"/>
          <w:szCs w:val="32"/>
        </w:rPr>
        <w:t>进行采购，欢迎有意向的供应商参加响应。</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项目名称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南海区</w:t>
      </w:r>
      <w:r>
        <w:rPr>
          <w:rFonts w:hint="eastAsia" w:ascii="仿宋_GB2312" w:hAnsi="仿宋_GB2312" w:eastAsia="仿宋_GB2312" w:cs="仿宋_GB2312"/>
          <w:color w:val="auto"/>
          <w:sz w:val="32"/>
          <w:szCs w:val="32"/>
          <w:lang w:val="en-US" w:eastAsia="zh-CN"/>
        </w:rPr>
        <w:t>综治中心建设</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项目需求及内容</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11月前</w:t>
      </w:r>
      <w:r>
        <w:rPr>
          <w:rFonts w:hint="eastAsia" w:ascii="仿宋_GB2312" w:hAnsi="仿宋_GB2312" w:eastAsia="仿宋_GB2312" w:cs="仿宋_GB2312"/>
          <w:color w:val="auto"/>
          <w:sz w:val="32"/>
          <w:szCs w:val="32"/>
        </w:rPr>
        <w:t>完成全部项目工作内容。</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（二）项目地点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中共</w:t>
      </w:r>
      <w:r>
        <w:rPr>
          <w:rFonts w:hint="eastAsia" w:ascii="仿宋_GB2312" w:hAnsi="仿宋_GB2312" w:eastAsia="仿宋_GB2312" w:cs="仿宋_GB2312"/>
          <w:color w:val="auto"/>
          <w:sz w:val="32"/>
          <w:szCs w:val="32"/>
        </w:rPr>
        <w:t>佛山市南海区</w:t>
      </w:r>
      <w:r>
        <w:rPr>
          <w:rFonts w:hint="eastAsia" w:ascii="仿宋_GB2312" w:hAnsi="仿宋_GB2312" w:eastAsia="仿宋_GB2312" w:cs="仿宋_GB2312"/>
          <w:color w:val="auto"/>
          <w:sz w:val="32"/>
          <w:szCs w:val="32"/>
          <w:lang w:eastAsia="zh-CN"/>
        </w:rPr>
        <w:t>委政法委</w:t>
      </w:r>
      <w:r>
        <w:rPr>
          <w:rFonts w:hint="eastAsia" w:ascii="仿宋_GB2312" w:hAnsi="仿宋_GB2312" w:eastAsia="仿宋_GB2312" w:cs="仿宋_GB2312"/>
          <w:color w:val="auto"/>
          <w:sz w:val="32"/>
          <w:szCs w:val="32"/>
          <w:lang w:val="en-US" w:eastAsia="zh-CN"/>
        </w:rPr>
        <w:t>员会</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（三）项目内容</w:t>
      </w:r>
    </w:p>
    <w:p>
      <w:pPr>
        <w:keepNext w:val="0"/>
        <w:keepLines w:val="0"/>
        <w:pageBreakBefore w:val="0"/>
        <w:widowControl w:val="0"/>
        <w:kinsoku/>
        <w:wordWrap/>
        <w:overflowPunct/>
        <w:topLinePunct w:val="0"/>
        <w:autoSpaceDE/>
        <w:autoSpaceDN/>
        <w:bidi w:val="0"/>
        <w:adjustRightInd/>
        <w:snapToGrid/>
        <w:spacing w:after="161" w:afterLines="50" w:line="57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南海区委政法委8楼802会议室原场地进行装修，改造为南海区综治中心监控研判室。需要装修单位完成本工程项目设计（包括方案设计、效果图、预算等工程准备至竣工验收合格期间的全部设计服务）、工程项目施工等服务内容。项目清单如下：</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6"/>
        <w:gridCol w:w="2503"/>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项目名称</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工程量</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原有显示背景墙拆除</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线路检修</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局部天花保护性拆除</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新制作显示屏背景墙及装饰</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15</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m</w:t>
            </w:r>
            <w:r>
              <w:rPr>
                <w:rFonts w:hint="eastAsia" w:ascii="仿宋_GB2312" w:hAnsi="仿宋_GB2312" w:eastAsia="仿宋_GB2312" w:cs="仿宋_GB2312"/>
                <w:color w:val="auto"/>
                <w:sz w:val="28"/>
                <w:szCs w:val="28"/>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隔音墙制作（在原有基础）</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76.5</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m</w:t>
            </w:r>
            <w:r>
              <w:rPr>
                <w:rFonts w:hint="eastAsia" w:ascii="仿宋_GB2312" w:hAnsi="仿宋_GB2312" w:eastAsia="仿宋_GB2312" w:cs="仿宋_GB2312"/>
                <w:color w:val="auto"/>
                <w:sz w:val="28"/>
                <w:szCs w:val="28"/>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隔音墙制作装饰</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52.5</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m</w:t>
            </w:r>
            <w:r>
              <w:rPr>
                <w:rFonts w:hint="eastAsia" w:ascii="仿宋_GB2312" w:hAnsi="仿宋_GB2312" w:eastAsia="仿宋_GB2312" w:cs="仿宋_GB2312"/>
                <w:color w:val="auto"/>
                <w:sz w:val="28"/>
                <w:szCs w:val="28"/>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更换隔音生态门</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天花乳胶漆</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88</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m</w:t>
            </w:r>
            <w:r>
              <w:rPr>
                <w:rFonts w:hint="eastAsia" w:ascii="仿宋_GB2312" w:hAnsi="仿宋_GB2312" w:eastAsia="仿宋_GB2312" w:cs="仿宋_GB2312"/>
                <w:color w:val="auto"/>
                <w:sz w:val="28"/>
                <w:szCs w:val="28"/>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施工保护、材料、垃圾搬运等</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窗帘更换</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原有主屏迁移、安装及调试</w:t>
            </w:r>
          </w:p>
        </w:tc>
        <w:tc>
          <w:tcPr>
            <w:tcW w:w="2503"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2412" w:type="dxa"/>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w:t>
            </w:r>
          </w:p>
        </w:tc>
      </w:tr>
    </w:tbl>
    <w:p>
      <w:pPr>
        <w:pStyle w:val="4"/>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outlineLvl w:val="2"/>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（四）项目目的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强化南海区综治中心建设和日常管理是新形势下我区不断推进社会治理体系和治理能力现代化的必然要求，是整合社会治理资源、创新社会治理方式的重要支撑。加强南海区综治中心监控研判室建设，能够为综治中心综合运用“粤平安”、综治视联网、公共安全视频监控系统等全域数据视频动态，分析研判社会风险和实时监控、指挥处置突发案事件提供场地，进一步提升公共安全隐患发现处置能力和实战能力，维护社会大局安全稳定。</w:t>
      </w:r>
      <w:r>
        <w:rPr>
          <w:rFonts w:ascii="宋体" w:hAnsi="宋体" w:eastAsia="宋体" w:cs="宋体"/>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Cs/>
          <w:color w:val="auto"/>
          <w:sz w:val="32"/>
          <w:szCs w:val="32"/>
        </w:rPr>
      </w:pPr>
      <w:r>
        <w:rPr>
          <w:rFonts w:hint="eastAsia" w:ascii="黑体" w:hAnsi="黑体" w:eastAsia="黑体" w:cs="黑体"/>
          <w:color w:val="auto"/>
          <w:sz w:val="32"/>
          <w:szCs w:val="32"/>
        </w:rPr>
        <w:t>报价要求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本项目</w:t>
      </w:r>
      <w:r>
        <w:rPr>
          <w:rFonts w:hint="eastAsia" w:ascii="仿宋_GB2312" w:hAnsi="仿宋_GB2312" w:eastAsia="仿宋_GB2312" w:cs="仿宋_GB2312"/>
          <w:bCs/>
          <w:color w:val="auto"/>
          <w:sz w:val="32"/>
          <w:szCs w:val="32"/>
          <w:lang w:val="en-US" w:eastAsia="zh-CN"/>
        </w:rPr>
        <w:t>含税</w:t>
      </w:r>
      <w:r>
        <w:rPr>
          <w:rFonts w:hint="eastAsia" w:ascii="仿宋_GB2312" w:hAnsi="仿宋_GB2312" w:eastAsia="仿宋_GB2312" w:cs="仿宋_GB2312"/>
          <w:bCs/>
          <w:color w:val="auto"/>
          <w:sz w:val="32"/>
          <w:szCs w:val="32"/>
        </w:rPr>
        <w:t>最高限价为￥</w:t>
      </w:r>
      <w:r>
        <w:rPr>
          <w:rFonts w:hint="eastAsia" w:ascii="仿宋_GB2312" w:hAnsi="仿宋_GB2312" w:eastAsia="仿宋_GB2312" w:cs="仿宋_GB2312"/>
          <w:bCs/>
          <w:color w:val="auto"/>
          <w:sz w:val="32"/>
          <w:szCs w:val="32"/>
          <w:lang w:val="en-US" w:eastAsia="zh-CN"/>
        </w:rPr>
        <w:t>13</w:t>
      </w:r>
      <w:r>
        <w:rPr>
          <w:rFonts w:hint="eastAsia" w:ascii="仿宋_GB2312" w:hAnsi="仿宋_GB2312" w:eastAsia="仿宋_GB2312" w:cs="仿宋_GB2312"/>
          <w:bCs/>
          <w:color w:val="auto"/>
          <w:sz w:val="32"/>
          <w:szCs w:val="32"/>
        </w:rPr>
        <w:t>0,000元（大写：人民币</w:t>
      </w:r>
      <w:r>
        <w:rPr>
          <w:rFonts w:hint="eastAsia" w:ascii="仿宋_GB2312" w:hAnsi="仿宋_GB2312" w:eastAsia="仿宋_GB2312" w:cs="仿宋_GB2312"/>
          <w:bCs/>
          <w:color w:val="auto"/>
          <w:sz w:val="32"/>
          <w:szCs w:val="32"/>
          <w:lang w:val="en-US" w:eastAsia="zh-CN"/>
        </w:rPr>
        <w:t>壹</w:t>
      </w:r>
      <w:r>
        <w:rPr>
          <w:rFonts w:hint="eastAsia" w:ascii="仿宋_GB2312" w:hAnsi="仿宋_GB2312" w:eastAsia="仿宋_GB2312" w:cs="仿宋_GB2312"/>
          <w:bCs/>
          <w:color w:val="auto"/>
          <w:sz w:val="32"/>
          <w:szCs w:val="32"/>
        </w:rPr>
        <w:t>拾</w:t>
      </w:r>
      <w:r>
        <w:rPr>
          <w:rFonts w:hint="eastAsia" w:ascii="仿宋_GB2312" w:hAnsi="仿宋_GB2312" w:eastAsia="仿宋_GB2312" w:cs="仿宋_GB2312"/>
          <w:bCs/>
          <w:color w:val="auto"/>
          <w:sz w:val="32"/>
          <w:szCs w:val="32"/>
          <w:lang w:val="en-US" w:eastAsia="zh-CN"/>
        </w:rPr>
        <w:t>叁</w:t>
      </w:r>
      <w:r>
        <w:rPr>
          <w:rFonts w:hint="eastAsia" w:ascii="仿宋_GB2312" w:hAnsi="仿宋_GB2312" w:eastAsia="仿宋_GB2312" w:cs="仿宋_GB2312"/>
          <w:bCs/>
          <w:color w:val="auto"/>
          <w:sz w:val="32"/>
          <w:szCs w:val="32"/>
        </w:rPr>
        <w:t>万元整）。报价人报价不得高于最高限价，且报价必须为唯一报价，否则按</w:t>
      </w:r>
      <w:r>
        <w:rPr>
          <w:rFonts w:hint="eastAsia" w:ascii="仿宋_GB2312" w:hAnsi="仿宋_GB2312" w:eastAsia="仿宋_GB2312" w:cs="仿宋_GB2312"/>
          <w:bCs/>
          <w:color w:val="auto"/>
          <w:sz w:val="32"/>
          <w:szCs w:val="32"/>
          <w:lang w:eastAsia="zh-CN"/>
        </w:rPr>
        <w:t>无效</w:t>
      </w:r>
      <w:r>
        <w:rPr>
          <w:rFonts w:hint="eastAsia" w:ascii="仿宋_GB2312" w:hAnsi="仿宋_GB2312" w:eastAsia="仿宋_GB2312" w:cs="仿宋_GB2312"/>
          <w:bCs/>
          <w:color w:val="auto"/>
          <w:sz w:val="32"/>
          <w:szCs w:val="32"/>
        </w:rPr>
        <w:t>报价处理。</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报价人资格要求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参与本次报价的供应商，应同时具备以下条件：</w:t>
      </w:r>
    </w:p>
    <w:p>
      <w:pPr>
        <w:pStyle w:val="4"/>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（一）在中国国内设有独立法人机构（如营业执照、组织机构代码证、民办非盈利机构注册登记证等），分公司或分支机构必须由具有法人资格的总公司授权；具有良好的银行资信、商业信誉和健全的财务制度</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（二）了解本次报价项目，具有</w:t>
      </w:r>
      <w:r>
        <w:rPr>
          <w:rFonts w:hint="eastAsia" w:ascii="仿宋_GB2312" w:hAnsi="仿宋_GB2312" w:eastAsia="仿宋_GB2312" w:cs="仿宋_GB2312"/>
          <w:color w:val="auto"/>
          <w:sz w:val="32"/>
          <w:szCs w:val="32"/>
          <w:lang w:eastAsia="zh-CN"/>
        </w:rPr>
        <w:t>执行相关内容</w:t>
      </w:r>
      <w:r>
        <w:rPr>
          <w:rFonts w:hint="eastAsia" w:ascii="仿宋_GB2312" w:hAnsi="仿宋_GB2312" w:eastAsia="仿宋_GB2312" w:cs="仿宋_GB2312"/>
          <w:color w:val="auto"/>
          <w:sz w:val="32"/>
          <w:szCs w:val="32"/>
        </w:rPr>
        <w:t>的经营范围和承接同类项目的服务经验</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（三）拥有一定数量的专业人员，能根据相关要求制定</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方案并开展工作</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（四）各报价人应保证所提供材料的真实合法性，我单位保留对相关材料进一步核查的权利。对于报价人弄虚作假的行为，会导致报价人</w:t>
      </w:r>
      <w:r>
        <w:rPr>
          <w:rFonts w:hint="eastAsia" w:ascii="仿宋_GB2312" w:hAnsi="仿宋_GB2312" w:eastAsia="仿宋_GB2312" w:cs="仿宋_GB2312"/>
          <w:color w:val="auto"/>
          <w:sz w:val="32"/>
          <w:szCs w:val="32"/>
          <w:lang w:eastAsia="zh-CN"/>
        </w:rPr>
        <w:t>的报价行为</w:t>
      </w:r>
      <w:r>
        <w:rPr>
          <w:rFonts w:hint="eastAsia" w:ascii="仿宋_GB2312" w:hAnsi="仿宋_GB2312" w:eastAsia="仿宋_GB2312" w:cs="仿宋_GB2312"/>
          <w:color w:val="auto"/>
          <w:sz w:val="32"/>
          <w:szCs w:val="32"/>
        </w:rPr>
        <w:t>无效</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）本项目不接受联合体报价。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参与形式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若有意向承接</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项目，请于2023年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rPr>
        <w:t>（工作日上午8：30—12：00，下午14：00—17：30）期间到南新二路67号</w:t>
      </w:r>
      <w:r>
        <w:rPr>
          <w:rFonts w:hint="eastAsia" w:ascii="仿宋_GB2312" w:hAnsi="仿宋_GB2312" w:eastAsia="仿宋_GB2312" w:cs="仿宋_GB2312"/>
          <w:color w:val="auto"/>
          <w:sz w:val="32"/>
          <w:szCs w:val="32"/>
          <w:lang w:val="en-US" w:eastAsia="zh-CN"/>
        </w:rPr>
        <w:t>605</w:t>
      </w:r>
      <w:r>
        <w:rPr>
          <w:rFonts w:hint="eastAsia" w:ascii="仿宋_GB2312" w:hAnsi="仿宋_GB2312" w:eastAsia="仿宋_GB2312" w:cs="仿宋_GB2312"/>
          <w:color w:val="auto"/>
          <w:sz w:val="32"/>
          <w:szCs w:val="32"/>
        </w:rPr>
        <w:t>室（联系电话：</w:t>
      </w:r>
      <w:r>
        <w:rPr>
          <w:rFonts w:hint="eastAsia" w:ascii="仿宋_GB2312" w:hAnsi="仿宋_GB2312" w:eastAsia="仿宋_GB2312" w:cs="仿宋_GB2312"/>
          <w:color w:val="auto"/>
          <w:sz w:val="32"/>
          <w:szCs w:val="32"/>
          <w:lang w:val="en-US" w:eastAsia="zh-CN"/>
        </w:rPr>
        <w:t>86399548</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罗小姐</w:t>
      </w:r>
      <w:r>
        <w:rPr>
          <w:rFonts w:hint="eastAsia" w:ascii="仿宋_GB2312" w:hAnsi="仿宋_GB2312" w:eastAsia="仿宋_GB2312" w:cs="仿宋_GB2312"/>
          <w:color w:val="auto"/>
          <w:sz w:val="32"/>
          <w:szCs w:val="32"/>
        </w:rPr>
        <w:t>）提交以下报价材料：1.营业执照/法人证书复印件（不封装）；2.承接</w:t>
      </w:r>
      <w:r>
        <w:rPr>
          <w:rFonts w:hint="eastAsia" w:ascii="仿宋_GB2312" w:hAnsi="仿宋_GB2312" w:eastAsia="仿宋_GB2312" w:cs="仿宋_GB2312"/>
          <w:color w:val="auto"/>
          <w:sz w:val="32"/>
          <w:szCs w:val="32"/>
          <w:lang w:eastAsia="zh-CN"/>
        </w:rPr>
        <w:t>南海区</w:t>
      </w:r>
      <w:r>
        <w:rPr>
          <w:rFonts w:hint="eastAsia" w:ascii="仿宋_GB2312" w:hAnsi="仿宋_GB2312" w:eastAsia="仿宋_GB2312" w:cs="仿宋_GB2312"/>
          <w:color w:val="auto"/>
          <w:sz w:val="32"/>
          <w:szCs w:val="32"/>
          <w:lang w:val="en-US" w:eastAsia="zh-CN"/>
        </w:rPr>
        <w:t>综治中心建设</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的初步方案、报价方案/表、以及其他与</w:t>
      </w:r>
      <w:r>
        <w:rPr>
          <w:rFonts w:hint="eastAsia" w:ascii="仿宋_GB2312" w:hAnsi="仿宋_GB2312" w:eastAsia="仿宋_GB2312" w:cs="仿宋_GB2312"/>
          <w:color w:val="auto"/>
          <w:sz w:val="32"/>
          <w:szCs w:val="32"/>
          <w:lang w:eastAsia="zh-CN"/>
        </w:rPr>
        <w:t>该项目</w:t>
      </w:r>
      <w:r>
        <w:rPr>
          <w:rFonts w:hint="eastAsia" w:ascii="仿宋_GB2312" w:hAnsi="仿宋_GB2312" w:eastAsia="仿宋_GB2312" w:cs="仿宋_GB2312"/>
          <w:color w:val="auto"/>
          <w:sz w:val="32"/>
          <w:szCs w:val="32"/>
        </w:rPr>
        <w:t>内容有关或足以证明竞投人资质、业绩、优势等能承接好此绩效评价的相关材料（封装并在封口加盖单位公章）。</w:t>
      </w:r>
      <w:r>
        <w:rPr>
          <w:rFonts w:hint="eastAsia" w:ascii="仿宋_GB2312" w:hAnsi="仿宋_GB2312" w:eastAsia="仿宋_GB2312" w:cs="仿宋_GB2312"/>
          <w:color w:val="auto"/>
          <w:sz w:val="32"/>
          <w:szCs w:val="32"/>
          <w:lang w:eastAsia="zh-CN"/>
        </w:rPr>
        <w:t>报价材料必须经过谨慎审核，确保报价合理准确、材料真实方可提交，若材料出现有误，则视为无效，相关责任报价人承担。</w:t>
      </w:r>
      <w:r>
        <w:rPr>
          <w:rFonts w:hint="eastAsia" w:ascii="仿宋_GB2312" w:hAnsi="仿宋_GB2312" w:eastAsia="仿宋_GB2312" w:cs="仿宋_GB2312"/>
          <w:color w:val="auto"/>
          <w:sz w:val="32"/>
          <w:szCs w:val="32"/>
        </w:rPr>
        <w:t>以上材料一式五份，采购人不接受在此时间段以外递交的报价文件。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采购单位将组成项目评审小组，以综合实力的优劣进行排列，择优选定承办单位。</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中共佛山市南海区委政法委员会</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9月22</w:t>
      </w:r>
      <w:r>
        <w:rPr>
          <w:rFonts w:hint="eastAsia" w:ascii="仿宋_GB2312" w:hAnsi="仿宋_GB2312" w:eastAsia="仿宋_GB2312" w:cs="仿宋_GB2312"/>
          <w:color w:val="auto"/>
          <w:sz w:val="32"/>
          <w:szCs w:val="32"/>
          <w:highlight w:val="none"/>
        </w:rPr>
        <w:t>日</w:t>
      </w:r>
    </w:p>
    <w:sectPr>
      <w:pgSz w:w="11906" w:h="16838"/>
      <w:pgMar w:top="2098" w:right="1474" w:bottom="1984"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SJ-PK74820001a5e-Identity-H">
    <w:altName w:val="Segoe Print"/>
    <w:panose1 w:val="00000000000000000000"/>
    <w:charset w:val="00"/>
    <w:family w:val="auto"/>
    <w:pitch w:val="default"/>
    <w:sig w:usb0="00000000" w:usb1="00000000" w:usb2="00000000" w:usb3="00000000" w:csb0="00000000" w:csb1="00000000"/>
  </w:font>
  <w:font w:name="H-SS9-PK74820001a65-Identit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AF40C"/>
    <w:multiLevelType w:val="singleLevel"/>
    <w:tmpl w:val="99BAF40C"/>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F02A84"/>
    <w:rsid w:val="000B703D"/>
    <w:rsid w:val="003C5A6A"/>
    <w:rsid w:val="00446CDC"/>
    <w:rsid w:val="0046420A"/>
    <w:rsid w:val="004A25D4"/>
    <w:rsid w:val="004C71F0"/>
    <w:rsid w:val="006923CC"/>
    <w:rsid w:val="007658D3"/>
    <w:rsid w:val="0079115A"/>
    <w:rsid w:val="00883D4F"/>
    <w:rsid w:val="008C06E6"/>
    <w:rsid w:val="008C7AB4"/>
    <w:rsid w:val="00A01673"/>
    <w:rsid w:val="00A95A28"/>
    <w:rsid w:val="00AE3CF8"/>
    <w:rsid w:val="00C63508"/>
    <w:rsid w:val="00C81C10"/>
    <w:rsid w:val="00EA2BBC"/>
    <w:rsid w:val="00ED60D2"/>
    <w:rsid w:val="01466ADF"/>
    <w:rsid w:val="022E27B1"/>
    <w:rsid w:val="03870DEA"/>
    <w:rsid w:val="04F02A84"/>
    <w:rsid w:val="070A0C4C"/>
    <w:rsid w:val="07D97EFC"/>
    <w:rsid w:val="09B10BCE"/>
    <w:rsid w:val="0BCB17CA"/>
    <w:rsid w:val="0D045E82"/>
    <w:rsid w:val="0EBE0C43"/>
    <w:rsid w:val="118F78FE"/>
    <w:rsid w:val="120F1299"/>
    <w:rsid w:val="131D1487"/>
    <w:rsid w:val="13FE1C0C"/>
    <w:rsid w:val="167150E4"/>
    <w:rsid w:val="18304C11"/>
    <w:rsid w:val="1850191D"/>
    <w:rsid w:val="188A28AE"/>
    <w:rsid w:val="18CE0DD2"/>
    <w:rsid w:val="1BCB0580"/>
    <w:rsid w:val="1C920DEE"/>
    <w:rsid w:val="1E375B59"/>
    <w:rsid w:val="1E6A69C7"/>
    <w:rsid w:val="1F764213"/>
    <w:rsid w:val="21615316"/>
    <w:rsid w:val="24525E86"/>
    <w:rsid w:val="25F5079C"/>
    <w:rsid w:val="262D531F"/>
    <w:rsid w:val="279F4D89"/>
    <w:rsid w:val="28543BB9"/>
    <w:rsid w:val="29B322FB"/>
    <w:rsid w:val="2A145D1D"/>
    <w:rsid w:val="2CEA02CB"/>
    <w:rsid w:val="31313D9C"/>
    <w:rsid w:val="315D71D2"/>
    <w:rsid w:val="316476D0"/>
    <w:rsid w:val="32AC3C92"/>
    <w:rsid w:val="364A7400"/>
    <w:rsid w:val="388A03E4"/>
    <w:rsid w:val="3AE43D6C"/>
    <w:rsid w:val="3B393D86"/>
    <w:rsid w:val="3C4027C8"/>
    <w:rsid w:val="3E1E4808"/>
    <w:rsid w:val="3F0D7A75"/>
    <w:rsid w:val="40FD528A"/>
    <w:rsid w:val="43954F7F"/>
    <w:rsid w:val="4490735C"/>
    <w:rsid w:val="44ED3397"/>
    <w:rsid w:val="479D2617"/>
    <w:rsid w:val="481878DE"/>
    <w:rsid w:val="49B033F0"/>
    <w:rsid w:val="49FA0BF4"/>
    <w:rsid w:val="4A2F4C5E"/>
    <w:rsid w:val="4ADC67F8"/>
    <w:rsid w:val="4AF00609"/>
    <w:rsid w:val="4BD838D7"/>
    <w:rsid w:val="501A4ADD"/>
    <w:rsid w:val="50A64459"/>
    <w:rsid w:val="517F75C2"/>
    <w:rsid w:val="51EA0774"/>
    <w:rsid w:val="57B42FFD"/>
    <w:rsid w:val="57F16410"/>
    <w:rsid w:val="58604689"/>
    <w:rsid w:val="59933B24"/>
    <w:rsid w:val="5DC7530E"/>
    <w:rsid w:val="61A80B52"/>
    <w:rsid w:val="63BF60CF"/>
    <w:rsid w:val="679F4A9D"/>
    <w:rsid w:val="6C217627"/>
    <w:rsid w:val="6C69507C"/>
    <w:rsid w:val="70883BA0"/>
    <w:rsid w:val="728A7D4A"/>
    <w:rsid w:val="738C1BD0"/>
    <w:rsid w:val="7F313C02"/>
    <w:rsid w:val="7FBD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4"/>
      <w:ind w:left="710"/>
      <w:outlineLvl w:val="1"/>
    </w:pPr>
    <w:rPr>
      <w:rFonts w:ascii="宋体" w:hAnsi="宋体" w:eastAsia="宋体" w:cs="宋体"/>
      <w:b/>
      <w:bCs/>
      <w:sz w:val="24"/>
      <w:lang w:val="zh-CN" w:bidi="zh-CN"/>
    </w:rPr>
  </w:style>
  <w:style w:type="paragraph" w:styleId="4">
    <w:name w:val="heading 3"/>
    <w:basedOn w:val="1"/>
    <w:next w:val="1"/>
    <w:unhideWhenUsed/>
    <w:qFormat/>
    <w:uiPriority w:val="0"/>
    <w:pPr>
      <w:spacing w:before="104" w:after="104"/>
      <w:outlineLvl w:val="2"/>
    </w:p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_Style 5"/>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7"/>
    <w:link w:val="6"/>
    <w:qFormat/>
    <w:uiPriority w:val="0"/>
    <w:rPr>
      <w:rFonts w:asciiTheme="minorHAnsi" w:hAnsiTheme="minorHAnsi" w:eastAsiaTheme="minorEastAsia" w:cstheme="minorBidi"/>
      <w:kern w:val="2"/>
      <w:sz w:val="18"/>
      <w:szCs w:val="18"/>
    </w:rPr>
  </w:style>
  <w:style w:type="character" w:customStyle="1" w:styleId="11">
    <w:name w:val="页脚 字符"/>
    <w:basedOn w:val="7"/>
    <w:link w:val="5"/>
    <w:qFormat/>
    <w:uiPriority w:val="0"/>
    <w:rPr>
      <w:rFonts w:asciiTheme="minorHAnsi" w:hAnsiTheme="minorHAnsi" w:eastAsiaTheme="minorEastAsia" w:cstheme="minorBidi"/>
      <w:kern w:val="2"/>
      <w:sz w:val="18"/>
      <w:szCs w:val="18"/>
    </w:rPr>
  </w:style>
  <w:style w:type="paragraph" w:customStyle="1" w:styleId="12">
    <w:name w:val="Heading1"/>
    <w:basedOn w:val="1"/>
    <w:next w:val="1"/>
    <w:qFormat/>
    <w:uiPriority w:val="0"/>
    <w:pPr>
      <w:keepNext/>
      <w:keepLines/>
      <w:widowControl/>
      <w:spacing w:before="340" w:after="330" w:line="576" w:lineRule="auto"/>
      <w:jc w:val="both"/>
      <w:textAlignment w:val="baseline"/>
    </w:pPr>
    <w:rPr>
      <w:rFonts w:ascii="Calibri" w:hAnsi="Calibri" w:eastAsia="微软雅黑"/>
      <w:b/>
      <w:kern w:val="44"/>
      <w:sz w:val="36"/>
      <w:szCs w:val="24"/>
      <w:lang w:val="en-US" w:eastAsia="zh-CN" w:bidi="ar-SA"/>
    </w:rPr>
  </w:style>
  <w:style w:type="character" w:customStyle="1" w:styleId="13">
    <w:name w:val="fontstyle01"/>
    <w:basedOn w:val="7"/>
    <w:qFormat/>
    <w:uiPriority w:val="0"/>
    <w:rPr>
      <w:rFonts w:ascii="SSJ-PK74820001a5e-Identity-H" w:hAnsi="SSJ-PK74820001a5e-Identity-H" w:eastAsia="SSJ-PK74820001a5e-Identity-H" w:cs="SSJ-PK74820001a5e-Identity-H"/>
      <w:color w:val="000000"/>
      <w:sz w:val="40"/>
      <w:szCs w:val="40"/>
    </w:rPr>
  </w:style>
  <w:style w:type="character" w:customStyle="1" w:styleId="14">
    <w:name w:val="fontstyle11"/>
    <w:basedOn w:val="7"/>
    <w:qFormat/>
    <w:uiPriority w:val="0"/>
    <w:rPr>
      <w:rFonts w:ascii="H-SS9-PK74820001a65-Identity-H" w:hAnsi="H-SS9-PK74820001a65-Identity-H" w:eastAsia="H-SS9-PK74820001a65-Identity-H" w:cs="H-SS9-PK74820001a65-Identity-H"/>
      <w:color w:val="000000"/>
      <w:sz w:val="38"/>
      <w:szCs w:val="3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区委政法委</Company>
  <Pages>6</Pages>
  <Words>343</Words>
  <Characters>1959</Characters>
  <Lines>16</Lines>
  <Paragraphs>4</Paragraphs>
  <TotalTime>11</TotalTime>
  <ScaleCrop>false</ScaleCrop>
  <LinksUpToDate>false</LinksUpToDate>
  <CharactersWithSpaces>2298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2023-06-26T02:56:00Z</dcterms:created>
  <dc:creator>陈曾悦</dc:creator>
  <cp:lastModifiedBy>罗君玲</cp:lastModifiedBy>
  <cp:lastPrinted>2023-09-22T02:24:00Z</cp:lastPrinted>
  <dcterms:modified xsi:type="dcterms:W3CDTF">2023-09-22T03:03:11Z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5CE1ED2E9B684046B44E12563979CE43</vt:lpwstr>
  </property>
</Properties>
</file>